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131" w:rsidRPr="008F1DDB" w:rsidRDefault="00B43131" w:rsidP="00C03F25">
      <w:pPr>
        <w:pStyle w:val="Nagwek4"/>
        <w:ind w:left="357" w:hanging="357"/>
        <w:jc w:val="both"/>
        <w:rPr>
          <w:rFonts w:ascii="Verdana" w:hAnsi="Verdana"/>
          <w:color w:val="000000"/>
          <w:sz w:val="20"/>
          <w:u w:val="single"/>
        </w:rPr>
      </w:pPr>
    </w:p>
    <w:p w:rsidR="00B43131" w:rsidRPr="002B0857" w:rsidRDefault="0067678B" w:rsidP="00B43131">
      <w:pPr>
        <w:pStyle w:val="Tekstpodstawowywcity2"/>
        <w:ind w:firstLine="0"/>
        <w:jc w:val="both"/>
        <w:rPr>
          <w:rFonts w:ascii="Verdana" w:hAnsi="Verdana"/>
          <w:color w:val="000000"/>
          <w:sz w:val="20"/>
          <w:u w:val="single"/>
        </w:rPr>
      </w:pPr>
      <w:r>
        <w:rPr>
          <w:rFonts w:ascii="Verdana" w:hAnsi="Verdana"/>
          <w:b/>
          <w:color w:val="000000"/>
          <w:sz w:val="20"/>
        </w:rPr>
        <w:t xml:space="preserve">OGÓLNE </w:t>
      </w:r>
      <w:r w:rsidR="00B43131" w:rsidRPr="002B0857">
        <w:rPr>
          <w:rFonts w:ascii="Verdana" w:hAnsi="Verdana"/>
          <w:b/>
          <w:color w:val="000000"/>
          <w:sz w:val="20"/>
        </w:rPr>
        <w:t xml:space="preserve">WYTYCZNE DLA OŚWIETLENIA DROGOWEGO W TECHNOLOGII </w:t>
      </w:r>
      <w:r w:rsidR="001F5257" w:rsidRPr="002B0857">
        <w:rPr>
          <w:rFonts w:ascii="Verdana" w:hAnsi="Verdana"/>
          <w:b/>
          <w:color w:val="000000"/>
          <w:sz w:val="20"/>
        </w:rPr>
        <w:t>DIODOWEJ (</w:t>
      </w:r>
      <w:r w:rsidR="00B43131" w:rsidRPr="002B0857">
        <w:rPr>
          <w:rFonts w:ascii="Verdana" w:hAnsi="Verdana"/>
          <w:b/>
          <w:color w:val="000000"/>
          <w:sz w:val="20"/>
        </w:rPr>
        <w:t>LED</w:t>
      </w:r>
      <w:r w:rsidR="001F5257" w:rsidRPr="002B0857">
        <w:rPr>
          <w:rFonts w:ascii="Verdana" w:hAnsi="Verdana"/>
          <w:b/>
          <w:color w:val="000000"/>
          <w:sz w:val="20"/>
        </w:rPr>
        <w:t>)</w:t>
      </w:r>
      <w:r w:rsidR="00B43131" w:rsidRPr="002B0857">
        <w:rPr>
          <w:rFonts w:ascii="Verdana" w:hAnsi="Verdana"/>
          <w:b/>
          <w:color w:val="000000"/>
          <w:sz w:val="20"/>
        </w:rPr>
        <w:t xml:space="preserve"> ORAZ </w:t>
      </w:r>
      <w:r w:rsidR="001F5257" w:rsidRPr="002B0857">
        <w:rPr>
          <w:rFonts w:ascii="Verdana" w:hAnsi="Verdana"/>
          <w:b/>
          <w:color w:val="000000"/>
          <w:sz w:val="20"/>
        </w:rPr>
        <w:t>DLA SYSTEMU ZASILAJĄCO - STERUJĄCEGO OŚWIETLENIEM</w:t>
      </w:r>
      <w:r w:rsidR="00B43131" w:rsidRPr="002B0857">
        <w:rPr>
          <w:rFonts w:ascii="Verdana" w:hAnsi="Verdana"/>
          <w:b/>
          <w:color w:val="000000"/>
          <w:sz w:val="20"/>
        </w:rPr>
        <w:t>.</w:t>
      </w:r>
    </w:p>
    <w:p w:rsidR="00B051EE" w:rsidRPr="002B0857" w:rsidRDefault="00B051EE" w:rsidP="00C7526A">
      <w:pPr>
        <w:spacing w:after="0" w:line="240" w:lineRule="auto"/>
        <w:ind w:left="357" w:hanging="357"/>
        <w:jc w:val="both"/>
        <w:rPr>
          <w:rFonts w:ascii="Verdana" w:hAnsi="Verdana"/>
          <w:color w:val="000000"/>
          <w:sz w:val="20"/>
          <w:szCs w:val="20"/>
        </w:rPr>
      </w:pPr>
    </w:p>
    <w:p w:rsidR="00B051EE" w:rsidRPr="002B0857" w:rsidRDefault="00B43131" w:rsidP="0029086A">
      <w:pPr>
        <w:pStyle w:val="Tekstpodstawowy3"/>
        <w:spacing w:line="360" w:lineRule="auto"/>
        <w:ind w:left="360"/>
        <w:rPr>
          <w:rFonts w:ascii="Arial" w:hAnsi="Arial" w:cs="Arial"/>
          <w:b/>
          <w:sz w:val="20"/>
        </w:rPr>
      </w:pPr>
      <w:r w:rsidRPr="002B0857">
        <w:rPr>
          <w:rFonts w:ascii="Arial" w:hAnsi="Arial" w:cs="Arial"/>
          <w:b/>
          <w:sz w:val="20"/>
        </w:rPr>
        <w:t>1</w:t>
      </w:r>
      <w:r w:rsidR="00B051EE" w:rsidRPr="002B0857">
        <w:rPr>
          <w:rFonts w:ascii="Arial" w:hAnsi="Arial" w:cs="Arial"/>
          <w:b/>
          <w:sz w:val="20"/>
        </w:rPr>
        <w:t>. Wymagania dla opraw</w:t>
      </w:r>
      <w:r w:rsidR="00D74857" w:rsidRPr="002B0857">
        <w:rPr>
          <w:rFonts w:ascii="Arial" w:hAnsi="Arial" w:cs="Arial"/>
          <w:b/>
          <w:sz w:val="20"/>
        </w:rPr>
        <w:t xml:space="preserve"> </w:t>
      </w:r>
      <w:r w:rsidR="002B0857" w:rsidRPr="002B0857">
        <w:rPr>
          <w:rFonts w:ascii="Arial" w:hAnsi="Arial" w:cs="Arial"/>
          <w:b/>
          <w:sz w:val="20"/>
        </w:rPr>
        <w:t xml:space="preserve">i słupów </w:t>
      </w:r>
      <w:r w:rsidR="00D74857" w:rsidRPr="002B0857">
        <w:rPr>
          <w:rFonts w:ascii="Arial" w:hAnsi="Arial" w:cs="Arial"/>
          <w:b/>
          <w:sz w:val="20"/>
        </w:rPr>
        <w:t>oświetlenia drogowego</w:t>
      </w:r>
      <w:r w:rsidR="00B051EE" w:rsidRPr="002B0857">
        <w:rPr>
          <w:rFonts w:ascii="Arial" w:hAnsi="Arial" w:cs="Arial"/>
          <w:b/>
          <w:sz w:val="20"/>
        </w:rPr>
        <w:t>:</w:t>
      </w:r>
    </w:p>
    <w:p w:rsidR="00B051EE" w:rsidRPr="002B0857" w:rsidRDefault="00B051EE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a) Korpus oprawy, pokrywa wykonane z odlewu alu</w:t>
      </w:r>
      <w:r w:rsidR="00B06E41" w:rsidRPr="002B0857">
        <w:rPr>
          <w:rFonts w:ascii="Arial" w:hAnsi="Arial" w:cs="Arial"/>
          <w:sz w:val="20"/>
        </w:rPr>
        <w:t xml:space="preserve">miniowego, malowanego </w:t>
      </w:r>
      <w:r w:rsidR="002B0857" w:rsidRPr="002B0857">
        <w:rPr>
          <w:rFonts w:ascii="Arial" w:hAnsi="Arial" w:cs="Arial"/>
          <w:sz w:val="20"/>
        </w:rPr>
        <w:t xml:space="preserve"> </w:t>
      </w:r>
      <w:r w:rsidR="00B06E41" w:rsidRPr="002B0857">
        <w:rPr>
          <w:rFonts w:ascii="Arial" w:hAnsi="Arial" w:cs="Arial"/>
          <w:sz w:val="20"/>
        </w:rPr>
        <w:t>proszkowo.</w:t>
      </w:r>
    </w:p>
    <w:p w:rsidR="00B051EE" w:rsidRPr="002B0857" w:rsidRDefault="00B051EE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 xml:space="preserve">b) Klosz </w:t>
      </w:r>
      <w:r w:rsidR="007538FD" w:rsidRPr="002B0857">
        <w:rPr>
          <w:rFonts w:ascii="Arial" w:hAnsi="Arial" w:cs="Arial"/>
          <w:sz w:val="20"/>
        </w:rPr>
        <w:t>wykonany ze szkła hartowanego</w:t>
      </w:r>
      <w:r w:rsidRPr="002B0857">
        <w:rPr>
          <w:rFonts w:ascii="Arial" w:hAnsi="Arial" w:cs="Arial"/>
          <w:sz w:val="20"/>
        </w:rPr>
        <w:t>.</w:t>
      </w:r>
    </w:p>
    <w:p w:rsidR="00B051EE" w:rsidRPr="002B0857" w:rsidRDefault="00B051EE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c) Stopień ochrony IP 66 dla komory optycznej i komory osprzętu.</w:t>
      </w:r>
    </w:p>
    <w:p w:rsidR="00744F85" w:rsidRPr="002B0857" w:rsidRDefault="00B051EE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 xml:space="preserve">    temperatura barwowa diod w granicach 3000K do 4</w:t>
      </w:r>
      <w:r w:rsidR="0029086A" w:rsidRPr="002B0857">
        <w:rPr>
          <w:rFonts w:ascii="Arial" w:hAnsi="Arial" w:cs="Arial"/>
          <w:sz w:val="20"/>
        </w:rPr>
        <w:t>3</w:t>
      </w:r>
      <w:r w:rsidRPr="002B0857">
        <w:rPr>
          <w:rFonts w:ascii="Arial" w:hAnsi="Arial" w:cs="Arial"/>
          <w:sz w:val="20"/>
        </w:rPr>
        <w:t>00K.</w:t>
      </w:r>
      <w:r w:rsidR="001A63AB" w:rsidRPr="002B0857">
        <w:rPr>
          <w:rFonts w:ascii="Arial" w:hAnsi="Arial" w:cs="Arial"/>
          <w:sz w:val="20"/>
        </w:rPr>
        <w:t xml:space="preserve"> </w:t>
      </w:r>
    </w:p>
    <w:p w:rsidR="00744F85" w:rsidRPr="002B0857" w:rsidRDefault="00B051EE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d)</w:t>
      </w:r>
      <w:r w:rsidR="00744F85" w:rsidRPr="002B0857">
        <w:rPr>
          <w:rFonts w:ascii="Arial" w:hAnsi="Arial" w:cs="Arial"/>
          <w:sz w:val="20"/>
        </w:rPr>
        <w:t xml:space="preserve"> skuteczność świetlna diody &gt;130 [lm/W]</w:t>
      </w:r>
    </w:p>
    <w:p w:rsidR="00B051EE" w:rsidRPr="002B0857" w:rsidRDefault="00744F85" w:rsidP="0029086A">
      <w:pPr>
        <w:pStyle w:val="Tekstpodstawowy3"/>
        <w:spacing w:line="360" w:lineRule="auto"/>
        <w:ind w:left="1080" w:hanging="371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e)</w:t>
      </w:r>
      <w:r w:rsidR="002B0857" w:rsidRPr="002B0857">
        <w:rPr>
          <w:rFonts w:ascii="Arial" w:hAnsi="Arial" w:cs="Arial"/>
          <w:sz w:val="20"/>
        </w:rPr>
        <w:t xml:space="preserve"> </w:t>
      </w:r>
      <w:r w:rsidR="00B051EE" w:rsidRPr="002B0857">
        <w:rPr>
          <w:rFonts w:ascii="Arial" w:hAnsi="Arial" w:cs="Arial"/>
          <w:sz w:val="20"/>
        </w:rPr>
        <w:t>Oprawy wyposażone w układy zasilające pozwalające na zaprogramowanie autonomicznej redukcji mocy i stałego utrzymania strumienia świetlnego w czasie eksploatacji</w:t>
      </w:r>
      <w:r w:rsidR="00930E02" w:rsidRPr="002B0857">
        <w:rPr>
          <w:rFonts w:ascii="Arial" w:hAnsi="Arial" w:cs="Arial"/>
          <w:sz w:val="20"/>
        </w:rPr>
        <w:t>.</w:t>
      </w:r>
      <w:r w:rsidR="00667117" w:rsidRPr="002B0857">
        <w:rPr>
          <w:rFonts w:ascii="Arial" w:hAnsi="Arial" w:cs="Arial"/>
          <w:sz w:val="20"/>
        </w:rPr>
        <w:t xml:space="preserve"> Min czas eksploa</w:t>
      </w:r>
      <w:r w:rsidR="00976664">
        <w:rPr>
          <w:rFonts w:ascii="Arial" w:hAnsi="Arial" w:cs="Arial"/>
          <w:sz w:val="20"/>
        </w:rPr>
        <w:t xml:space="preserve">tacji 80 </w:t>
      </w:r>
      <w:r w:rsidR="00667117" w:rsidRPr="002B0857">
        <w:rPr>
          <w:rFonts w:ascii="Arial" w:hAnsi="Arial" w:cs="Arial"/>
          <w:sz w:val="20"/>
        </w:rPr>
        <w:t>tyś godz</w:t>
      </w:r>
      <w:r w:rsidR="00976664">
        <w:rPr>
          <w:rFonts w:ascii="Arial" w:hAnsi="Arial" w:cs="Arial"/>
          <w:sz w:val="20"/>
        </w:rPr>
        <w:t>.</w:t>
      </w:r>
      <w:r w:rsidR="00667117" w:rsidRPr="002B0857">
        <w:rPr>
          <w:rFonts w:ascii="Arial" w:hAnsi="Arial" w:cs="Arial"/>
          <w:sz w:val="20"/>
        </w:rPr>
        <w:t xml:space="preserve"> </w:t>
      </w:r>
    </w:p>
    <w:p w:rsidR="00B051EE" w:rsidRPr="002B0857" w:rsidRDefault="00746627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f</w:t>
      </w:r>
      <w:r w:rsidR="00B051EE" w:rsidRPr="002B0857">
        <w:rPr>
          <w:rFonts w:ascii="Arial" w:hAnsi="Arial" w:cs="Arial"/>
          <w:sz w:val="20"/>
        </w:rPr>
        <w:t>) Oprawy posiadające deklaracje CE/WE/</w:t>
      </w:r>
      <w:r w:rsidR="00557CCF">
        <w:rPr>
          <w:rFonts w:ascii="Arial" w:hAnsi="Arial" w:cs="Arial"/>
          <w:sz w:val="20"/>
        </w:rPr>
        <w:t>,</w:t>
      </w:r>
      <w:r w:rsidR="00B051EE" w:rsidRPr="002B0857">
        <w:rPr>
          <w:rFonts w:ascii="Arial" w:hAnsi="Arial" w:cs="Arial"/>
          <w:sz w:val="20"/>
        </w:rPr>
        <w:t xml:space="preserve"> </w:t>
      </w:r>
      <w:r w:rsidR="00557CCF" w:rsidRPr="002B0857">
        <w:rPr>
          <w:rFonts w:ascii="Arial" w:hAnsi="Arial" w:cs="Arial"/>
          <w:sz w:val="20"/>
        </w:rPr>
        <w:t xml:space="preserve">ENEC </w:t>
      </w:r>
      <w:r w:rsidR="00B051EE" w:rsidRPr="002B0857">
        <w:rPr>
          <w:rFonts w:ascii="Arial" w:hAnsi="Arial" w:cs="Arial"/>
          <w:sz w:val="20"/>
        </w:rPr>
        <w:t>oraz ENEC</w:t>
      </w:r>
      <w:r w:rsidR="00557CCF">
        <w:rPr>
          <w:rFonts w:ascii="Arial" w:hAnsi="Arial" w:cs="Arial"/>
          <w:sz w:val="20"/>
        </w:rPr>
        <w:t>+</w:t>
      </w:r>
      <w:r w:rsidR="00B051EE" w:rsidRPr="002B0857">
        <w:rPr>
          <w:rFonts w:ascii="Arial" w:hAnsi="Arial" w:cs="Arial"/>
          <w:sz w:val="20"/>
        </w:rPr>
        <w:t>.</w:t>
      </w:r>
    </w:p>
    <w:p w:rsidR="00D74857" w:rsidRPr="002B0857" w:rsidRDefault="00746627" w:rsidP="007538FD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g</w:t>
      </w:r>
      <w:r w:rsidR="002B0857" w:rsidRPr="002B0857">
        <w:rPr>
          <w:rFonts w:ascii="Arial" w:hAnsi="Arial" w:cs="Arial"/>
          <w:sz w:val="20"/>
        </w:rPr>
        <w:t xml:space="preserve">) </w:t>
      </w:r>
      <w:r w:rsidR="00B051EE" w:rsidRPr="002B0857">
        <w:rPr>
          <w:rFonts w:ascii="Arial" w:hAnsi="Arial" w:cs="Arial"/>
          <w:sz w:val="20"/>
        </w:rPr>
        <w:t>Oprawa wyposażona w regulację kąta pochylenia zgodną z wymaganiami projektowymi.</w:t>
      </w:r>
    </w:p>
    <w:p w:rsidR="007538FD" w:rsidRPr="002B0857" w:rsidRDefault="007538FD" w:rsidP="007538FD">
      <w:pPr>
        <w:pStyle w:val="Tekstpodstawowy3"/>
        <w:numPr>
          <w:ilvl w:val="0"/>
          <w:numId w:val="14"/>
        </w:numPr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Zastosowany model oprawy powinien posiadać możliwość wyboru min. 5 różnych optyk.</w:t>
      </w:r>
    </w:p>
    <w:p w:rsidR="002B0857" w:rsidRPr="002B0857" w:rsidRDefault="002B0857" w:rsidP="002B0857">
      <w:pPr>
        <w:pStyle w:val="Tekstpodstawowy3"/>
        <w:rPr>
          <w:rFonts w:ascii="Arial" w:hAnsi="Arial" w:cs="Arial"/>
          <w:sz w:val="20"/>
          <w:highlight w:val="green"/>
        </w:rPr>
      </w:pPr>
    </w:p>
    <w:p w:rsidR="001A63AB" w:rsidRPr="002B0857" w:rsidRDefault="001A63AB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</w:p>
    <w:p w:rsidR="00B06E41" w:rsidRPr="002B0857" w:rsidRDefault="001F5257" w:rsidP="0029086A">
      <w:pPr>
        <w:pStyle w:val="Tekstpodstawowy3"/>
        <w:spacing w:line="360" w:lineRule="auto"/>
        <w:ind w:left="1134" w:hanging="708"/>
        <w:rPr>
          <w:rFonts w:ascii="Arial" w:hAnsi="Arial" w:cs="Arial"/>
          <w:b/>
          <w:sz w:val="20"/>
        </w:rPr>
      </w:pPr>
      <w:r w:rsidRPr="002B0857">
        <w:rPr>
          <w:rFonts w:ascii="Arial" w:hAnsi="Arial" w:cs="Arial"/>
          <w:b/>
          <w:sz w:val="20"/>
        </w:rPr>
        <w:t>2</w:t>
      </w:r>
      <w:r w:rsidR="00B06E41" w:rsidRPr="002B0857">
        <w:rPr>
          <w:rFonts w:ascii="Arial" w:hAnsi="Arial" w:cs="Arial"/>
          <w:b/>
          <w:sz w:val="20"/>
        </w:rPr>
        <w:t xml:space="preserve">. Wymagania dla inteligentnego systemu sterowania oświetleniem </w:t>
      </w:r>
      <w:r w:rsidR="006C6720" w:rsidRPr="002B0857">
        <w:rPr>
          <w:rFonts w:ascii="Arial" w:hAnsi="Arial" w:cs="Arial"/>
          <w:b/>
          <w:sz w:val="20"/>
        </w:rPr>
        <w:t xml:space="preserve"> </w:t>
      </w:r>
      <w:r w:rsidR="00B06E41" w:rsidRPr="002B0857">
        <w:rPr>
          <w:rFonts w:ascii="Arial" w:hAnsi="Arial" w:cs="Arial"/>
          <w:b/>
          <w:sz w:val="20"/>
        </w:rPr>
        <w:t>drogowym:</w:t>
      </w:r>
    </w:p>
    <w:p w:rsidR="00B06E41" w:rsidRPr="002B0857" w:rsidRDefault="00B06E41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a) Graficzne przedstawienie na mapie każdego punktu świetlnego wraz z przedstawieniem statusu.</w:t>
      </w:r>
    </w:p>
    <w:p w:rsidR="00B06E41" w:rsidRPr="002B0857" w:rsidRDefault="00B06E41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b) Wprowadzanie opisu każdego punktu świetlnego.</w:t>
      </w:r>
    </w:p>
    <w:p w:rsidR="00B06E41" w:rsidRPr="002B0857" w:rsidRDefault="00B06E41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c) Zdalne sterowanie i monitoring za pomocą strony WWW. każdego pojedynczego punktu świetlnego, a także możliwość ich dowolnego grupowania.</w:t>
      </w:r>
    </w:p>
    <w:p w:rsidR="00B06E41" w:rsidRPr="002B0857" w:rsidRDefault="00B06E41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d) Ilość sterowników centralnych  (komunikujących się z serwerem) nie większa niż ilość szafek oświetleniowych.</w:t>
      </w:r>
      <w:r w:rsidR="00746627" w:rsidRPr="002B0857">
        <w:rPr>
          <w:rFonts w:ascii="Arial" w:hAnsi="Arial" w:cs="Arial"/>
          <w:sz w:val="20"/>
        </w:rPr>
        <w:t xml:space="preserve"> Dopuszcza się również rozwiązania bazujące na bezpośredniej komunikacji pomiędzy oprawą, a systemem sterowania nie wymagającym stosowania sterowników centralnych w szafach zasilających.</w:t>
      </w:r>
    </w:p>
    <w:p w:rsidR="00B06E41" w:rsidRPr="002B0857" w:rsidRDefault="00B06E41" w:rsidP="00E33456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 xml:space="preserve">e) </w:t>
      </w:r>
      <w:r w:rsidR="00E33456" w:rsidRPr="002B0857">
        <w:rPr>
          <w:rFonts w:ascii="Arial" w:hAnsi="Arial" w:cs="Arial"/>
          <w:sz w:val="20"/>
        </w:rPr>
        <w:t>Ilość kart SIM nie większa niż ilość sterowników centralnych (w przypadku ich zastosowania) lub inne rozwiązania dla systemu sterowania opierające się na komunikacji</w:t>
      </w:r>
      <w:r w:rsidR="00E33456">
        <w:rPr>
          <w:rFonts w:ascii="Arial" w:hAnsi="Arial" w:cs="Arial"/>
          <w:sz w:val="20"/>
        </w:rPr>
        <w:t xml:space="preserve"> bezpośredniej opraw z systemem, w takim przypadku należy dostarczyć karty SIM w ilości niezbędnej do prawidłowego funkcjonowania systemu sterowania z wykupionym abonamentem na minimum 10 lat. Zamawiający nie dysponuje wolnymi licencjami kart SIM. </w:t>
      </w:r>
    </w:p>
    <w:p w:rsidR="00B06E41" w:rsidRPr="002B0857" w:rsidRDefault="00B06E41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f) Komunikacja sterowników lokalnych (w oprawach</w:t>
      </w:r>
      <w:r w:rsidR="00A12FD9" w:rsidRPr="002B0857">
        <w:rPr>
          <w:rFonts w:ascii="Arial" w:hAnsi="Arial" w:cs="Arial"/>
          <w:sz w:val="20"/>
        </w:rPr>
        <w:t xml:space="preserve"> drogowych, oprawach &lt;naświetlaczach&gt;</w:t>
      </w:r>
      <w:r w:rsidRPr="002B0857">
        <w:rPr>
          <w:rFonts w:ascii="Arial" w:hAnsi="Arial" w:cs="Arial"/>
          <w:sz w:val="20"/>
        </w:rPr>
        <w:t>) ze sterownik</w:t>
      </w:r>
      <w:r w:rsidR="00A12FD9" w:rsidRPr="002B0857">
        <w:rPr>
          <w:rFonts w:ascii="Arial" w:hAnsi="Arial" w:cs="Arial"/>
          <w:sz w:val="20"/>
        </w:rPr>
        <w:t>iem centralnym (w szafce zasilającej</w:t>
      </w:r>
      <w:r w:rsidRPr="002B0857">
        <w:rPr>
          <w:rFonts w:ascii="Arial" w:hAnsi="Arial" w:cs="Arial"/>
          <w:sz w:val="20"/>
        </w:rPr>
        <w:t>) powinna odbywać się bezprzewodowo bez zastosowania kart SIM w oprawach.</w:t>
      </w:r>
    </w:p>
    <w:p w:rsidR="0029086A" w:rsidRPr="002B0857" w:rsidRDefault="00B06E41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 xml:space="preserve">g) Możliwość wymiany kart SIM w sterownikach centralnych. </w:t>
      </w:r>
    </w:p>
    <w:p w:rsidR="00B06E41" w:rsidRPr="002B0857" w:rsidRDefault="00B06E41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h) Generowanie raportów m.in. energetycznych z możliwością ich wyeksportowania do edytowalnego pliku np. exel.</w:t>
      </w:r>
    </w:p>
    <w:p w:rsidR="00B06E41" w:rsidRPr="002B0857" w:rsidRDefault="00B06E41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 xml:space="preserve">j) Tworzenie dowolnych </w:t>
      </w:r>
      <w:r w:rsidR="00AE52E5">
        <w:rPr>
          <w:rFonts w:ascii="Arial" w:hAnsi="Arial" w:cs="Arial"/>
          <w:sz w:val="20"/>
        </w:rPr>
        <w:t xml:space="preserve">grup </w:t>
      </w:r>
      <w:r w:rsidRPr="002B0857">
        <w:rPr>
          <w:rFonts w:ascii="Arial" w:hAnsi="Arial" w:cs="Arial"/>
          <w:sz w:val="20"/>
        </w:rPr>
        <w:t>i podgrup opraw.</w:t>
      </w:r>
    </w:p>
    <w:p w:rsidR="00B06E41" w:rsidRPr="002B0857" w:rsidRDefault="00B06E41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k) Możliwość dodawania punktów świetlnych</w:t>
      </w:r>
      <w:r w:rsidR="007538FD" w:rsidRPr="002B0857">
        <w:rPr>
          <w:rFonts w:ascii="Arial" w:hAnsi="Arial" w:cs="Arial"/>
          <w:sz w:val="20"/>
        </w:rPr>
        <w:t xml:space="preserve"> (min 100 tys)</w:t>
      </w:r>
      <w:r w:rsidRPr="002B0857">
        <w:rPr>
          <w:rFonts w:ascii="Arial" w:hAnsi="Arial" w:cs="Arial"/>
          <w:sz w:val="20"/>
        </w:rPr>
        <w:t>.</w:t>
      </w:r>
    </w:p>
    <w:p w:rsidR="00B06E41" w:rsidRPr="002B0857" w:rsidRDefault="00B06E41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lastRenderedPageBreak/>
        <w:t>l) Inwestor (Zamawiający) nie będzie ponosił żadnych kosztów związanych z konfiguracją, wdrożeniem i eksploatacją systemu (w tym także kosztów związanych z użytkowaniem interfejsu, licencji, opłat serwerowych itp.)</w:t>
      </w:r>
      <w:r w:rsidR="007538FD" w:rsidRPr="002B0857">
        <w:rPr>
          <w:rFonts w:ascii="Arial" w:hAnsi="Arial" w:cs="Arial"/>
          <w:sz w:val="20"/>
        </w:rPr>
        <w:t xml:space="preserve"> w okresie  min 10 lat</w:t>
      </w:r>
      <w:r w:rsidRPr="002B0857">
        <w:rPr>
          <w:rFonts w:ascii="Arial" w:hAnsi="Arial" w:cs="Arial"/>
          <w:sz w:val="20"/>
        </w:rPr>
        <w:t>.</w:t>
      </w:r>
    </w:p>
    <w:p w:rsidR="00B06E41" w:rsidRDefault="006C6720" w:rsidP="0029086A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ł</w:t>
      </w:r>
      <w:r w:rsidR="00B06E41" w:rsidRPr="002B0857">
        <w:rPr>
          <w:rFonts w:ascii="Arial" w:hAnsi="Arial" w:cs="Arial"/>
          <w:sz w:val="20"/>
        </w:rPr>
        <w:t>) Bezpłatne aktualizacje</w:t>
      </w:r>
      <w:r w:rsidR="007538FD" w:rsidRPr="002B0857">
        <w:rPr>
          <w:rFonts w:ascii="Arial" w:hAnsi="Arial" w:cs="Arial"/>
          <w:sz w:val="20"/>
        </w:rPr>
        <w:t xml:space="preserve"> nie rzadziej niż raz na rok</w:t>
      </w:r>
      <w:r w:rsidR="00B06E41" w:rsidRPr="002B0857">
        <w:rPr>
          <w:rFonts w:ascii="Arial" w:hAnsi="Arial" w:cs="Arial"/>
          <w:sz w:val="20"/>
        </w:rPr>
        <w:t>.</w:t>
      </w:r>
    </w:p>
    <w:p w:rsidR="00BD4029" w:rsidRPr="002B0857" w:rsidRDefault="00BD4029" w:rsidP="00BD4029">
      <w:pPr>
        <w:pStyle w:val="Tekstpodstawowy3"/>
        <w:spacing w:line="360" w:lineRule="auto"/>
        <w:ind w:left="993" w:hanging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m) system sterownia musi posiadać możliwość komunikacji z systemem nadrzędnym po przez otwarty protokół API.</w:t>
      </w:r>
    </w:p>
    <w:p w:rsidR="002B0857" w:rsidRPr="002B0857" w:rsidRDefault="002B0857" w:rsidP="002B0857">
      <w:pPr>
        <w:pStyle w:val="Tekstpodstawowy3"/>
        <w:spacing w:line="360" w:lineRule="auto"/>
        <w:rPr>
          <w:rFonts w:ascii="Arial" w:hAnsi="Arial" w:cs="Arial"/>
          <w:b/>
          <w:sz w:val="20"/>
        </w:rPr>
      </w:pPr>
    </w:p>
    <w:p w:rsidR="002B0857" w:rsidRPr="002B0857" w:rsidRDefault="002B0857" w:rsidP="002B0857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r w:rsidRPr="002B0857">
        <w:rPr>
          <w:rFonts w:ascii="Arial" w:hAnsi="Arial" w:cs="Arial"/>
          <w:b/>
          <w:sz w:val="20"/>
          <w:szCs w:val="20"/>
        </w:rPr>
        <w:t>Sterowanie oświetleniem powinno zapewniać realizację poniższych funkcji:</w:t>
      </w:r>
    </w:p>
    <w:p w:rsidR="002B0857" w:rsidRPr="002B0857" w:rsidRDefault="002B0857" w:rsidP="002B0857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zdalny nadzór (monitorowanie, konfiguracja) przez sieć internetową z poziomu przeglądarki internetowej. Dostęp do interfejsu użytkownika powinien być możliwy z dowolnego urządzenia wyposażonego w dostęp do internetu i przeglądarkę internetową,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graficzny interfejs w postaci strony internetowej wraz z mapą na której za pomocą ikon reprezentowane są wszystkie punkty należące do systemu,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redukcja mocy pojedynczych opraw oświetleniowych, grup opraw lub wszystkich opraw,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załączanie i wyłączanie pojedynczej oprawy,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możliwość podłączenia do dowolnej oprawy czujnika (np. ruchu), który będzie sterował pracą pojedynczej oprawy lub grupy opraw (niezależnie od ich fizycznego połączenia), np. na ciągach pieszo jezdnych,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możliwość zdalnej zmiany konfiguracji w dowolnym momencie,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indywidualne zarządzanie każdą oprawą zgodnie z przyjętym programem,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indywidualną regulację poziomu oświetlenia pojedynczej oprawy, grupy opraw, całej instalacji,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zaprogramowanie oddzielnych krzywych redukcji dla dni pracujących (pon-pt) oraz weekendów (sb-nd),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zaprogramowanie wyjątków np. dni świątecznych, podczas których oświetlenie powinno mieć inną charakterystykę,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zmiana poziomu redukcji mocy poprzez zdalne przeprogramowanie w dowolnym momencie,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pomiar prądu, napięcia, mocy, współczynnika mocy, czasu pracy źródła światła dla pojedynczego punktu świetlnego,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dostęp do historycznych parametrów pracy systemu,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pomiar czasu pracy sterowników,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pomiar czasu pracy źródeł światła,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ułatwienie planowania grupowej wymiany źródeł światła,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uwzględnienie zaprojektowanego współczynnika utrzymania – utrzymanie stałego strumienia świetlnego w czasie min 80 tys. godzin,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możliwość zaprogramowania wirtualnej mocy oprawy (w zakresie charakterystyki pracy źródła),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sygnalizowanie uszkodzonego źródła światła lub statecznika, zaniku napięcia zasilającego, błędów komunikacji, przekroczonego poziomu mocy lub temperatury,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generowanie raportów zużycia energii oraz raportów błędów,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dodawanie nowych punktów świetlnych bez konieczności przebudowy istniejącej instalacji (np. prowadzenia dodatkowych przewodów, łączenia obwodów itp.),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wprowadzanie położenia punktów albo poprzez podanie współrzędnych geograficznych albo poprzez wskazanie miejsca montażu na mapie, albo automatycznie, poprzez kontakt z platforma zarządzającą, przy pierwszym uruchomieniu</w:t>
      </w:r>
    </w:p>
    <w:p w:rsidR="002B0857" w:rsidRPr="002B0857" w:rsidRDefault="002B0857" w:rsidP="002B0857">
      <w:pPr>
        <w:pStyle w:val="Akapitzlist1"/>
        <w:numPr>
          <w:ilvl w:val="1"/>
          <w:numId w:val="12"/>
        </w:numPr>
        <w:tabs>
          <w:tab w:val="clear" w:pos="1440"/>
          <w:tab w:val="num" w:pos="900"/>
        </w:tabs>
        <w:spacing w:after="0"/>
        <w:ind w:left="900"/>
        <w:jc w:val="both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>tworzenie kont użytkowników z różnorodnymi poziomami dostępu z możliwością zmiany w dowolnym momencie.</w:t>
      </w:r>
    </w:p>
    <w:bookmarkEnd w:id="0"/>
    <w:p w:rsidR="00976664" w:rsidRPr="002B0857" w:rsidRDefault="00976664" w:rsidP="00976664">
      <w:pPr>
        <w:pStyle w:val="Tekstpodstawowy3"/>
        <w:spacing w:line="360" w:lineRule="auto"/>
        <w:rPr>
          <w:rFonts w:ascii="Arial" w:hAnsi="Arial" w:cs="Arial"/>
          <w:sz w:val="20"/>
        </w:rPr>
      </w:pPr>
    </w:p>
    <w:p w:rsidR="003B350C" w:rsidRDefault="0029086A" w:rsidP="0029086A">
      <w:p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2B0857">
        <w:rPr>
          <w:rFonts w:ascii="Arial" w:hAnsi="Arial" w:cs="Arial"/>
          <w:sz w:val="20"/>
          <w:szCs w:val="20"/>
        </w:rPr>
        <w:t xml:space="preserve">    </w:t>
      </w:r>
    </w:p>
    <w:p w:rsidR="00A12FD9" w:rsidRPr="002B0857" w:rsidRDefault="0029086A" w:rsidP="0029086A">
      <w:pPr>
        <w:spacing w:after="0" w:line="360" w:lineRule="auto"/>
        <w:ind w:left="357" w:hanging="357"/>
        <w:rPr>
          <w:rFonts w:ascii="Arial" w:hAnsi="Arial" w:cs="Arial"/>
          <w:b/>
          <w:sz w:val="20"/>
          <w:szCs w:val="20"/>
        </w:rPr>
      </w:pPr>
      <w:r w:rsidRPr="002B0857">
        <w:rPr>
          <w:rFonts w:ascii="Arial" w:hAnsi="Arial" w:cs="Arial"/>
          <w:b/>
          <w:sz w:val="20"/>
          <w:szCs w:val="20"/>
        </w:rPr>
        <w:lastRenderedPageBreak/>
        <w:t>3. Pozostałe wymagania i uzgodnienia</w:t>
      </w:r>
    </w:p>
    <w:p w:rsidR="002B0857" w:rsidRPr="0022476C" w:rsidRDefault="002B0857" w:rsidP="002B0857">
      <w:pPr>
        <w:pStyle w:val="Tekstpodstawowy3"/>
        <w:ind w:left="360"/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 xml:space="preserve">1.  </w:t>
      </w:r>
      <w:r w:rsidRPr="0022476C">
        <w:rPr>
          <w:rFonts w:ascii="Arial" w:hAnsi="Arial" w:cs="Arial"/>
          <w:sz w:val="20"/>
        </w:rPr>
        <w:t xml:space="preserve">W zakresie doboru projektowanych opraw i słupów należy uzyskać opinię   </w:t>
      </w:r>
    </w:p>
    <w:p w:rsidR="002B0857" w:rsidRPr="0022476C" w:rsidRDefault="002B0857" w:rsidP="002B0857">
      <w:pPr>
        <w:pStyle w:val="Tekstpodstawowy3"/>
        <w:ind w:left="360"/>
        <w:rPr>
          <w:rFonts w:ascii="Arial" w:hAnsi="Arial" w:cs="Arial"/>
          <w:sz w:val="20"/>
        </w:rPr>
      </w:pPr>
      <w:r w:rsidRPr="0022476C">
        <w:rPr>
          <w:rFonts w:ascii="Arial" w:hAnsi="Arial" w:cs="Arial"/>
          <w:sz w:val="20"/>
        </w:rPr>
        <w:t xml:space="preserve">     </w:t>
      </w:r>
      <w:r w:rsidR="0022476C" w:rsidRPr="0022476C">
        <w:rPr>
          <w:rFonts w:ascii="Arial" w:hAnsi="Arial" w:cs="Arial"/>
          <w:sz w:val="20"/>
        </w:rPr>
        <w:t>Koordynatora Zespołu Analiz i Estetyki w Wydziale Architektury i Zabytków</w:t>
      </w:r>
    </w:p>
    <w:p w:rsidR="002B0857" w:rsidRPr="0022476C" w:rsidRDefault="002B0857" w:rsidP="002B0857">
      <w:pPr>
        <w:pStyle w:val="Tekstpodstawowy3"/>
        <w:ind w:left="360"/>
        <w:rPr>
          <w:rFonts w:ascii="Arial" w:hAnsi="Arial" w:cs="Arial"/>
          <w:sz w:val="20"/>
        </w:rPr>
      </w:pPr>
      <w:r w:rsidRPr="0022476C">
        <w:rPr>
          <w:rFonts w:ascii="Arial" w:hAnsi="Arial" w:cs="Arial"/>
          <w:sz w:val="20"/>
        </w:rPr>
        <w:t xml:space="preserve">     Urzędu Miejskiego Wrocławia, pl. Nowy Targ 1/8, 50-141 Wrocław.</w:t>
      </w:r>
    </w:p>
    <w:p w:rsidR="002B0857" w:rsidRPr="002B0857" w:rsidRDefault="002B0857" w:rsidP="002B0857">
      <w:pPr>
        <w:pStyle w:val="Tekstpodstawowy3"/>
        <w:numPr>
          <w:ilvl w:val="0"/>
          <w:numId w:val="13"/>
        </w:numPr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 xml:space="preserve">Należy uzgodnić w ZDiUM klasę oświetlenia drogi oraz przyjęte dla tej klasy oświetlenia podstawowe parametry. </w:t>
      </w:r>
    </w:p>
    <w:p w:rsidR="002B0857" w:rsidRPr="002B0857" w:rsidRDefault="002B0857" w:rsidP="002B0857">
      <w:pPr>
        <w:pStyle w:val="Tekstpodstawowy3"/>
        <w:numPr>
          <w:ilvl w:val="0"/>
          <w:numId w:val="13"/>
        </w:numPr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 xml:space="preserve">Projektowane oświetlenie powinno być zlokalizowane w pasie drogowym zarządzanym przez ZDiUM i służyć do oświetlenia tego pasa. </w:t>
      </w:r>
    </w:p>
    <w:p w:rsidR="002B0857" w:rsidRPr="002B0857" w:rsidRDefault="002B0857" w:rsidP="002B0857">
      <w:pPr>
        <w:pStyle w:val="Tekstpodstawowy3"/>
        <w:numPr>
          <w:ilvl w:val="0"/>
          <w:numId w:val="13"/>
        </w:numPr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 xml:space="preserve"> Słupy do wysokości </w:t>
      </w:r>
      <w:smartTag w:uri="urn:schemas-microsoft-com:office:smarttags" w:element="metricconverter">
        <w:smartTagPr>
          <w:attr w:name="ProductID" w:val="2,5 m"/>
        </w:smartTagPr>
        <w:r w:rsidRPr="002B0857">
          <w:rPr>
            <w:rFonts w:ascii="Arial" w:hAnsi="Arial" w:cs="Arial"/>
            <w:sz w:val="20"/>
          </w:rPr>
          <w:t>2,5 m</w:t>
        </w:r>
      </w:smartTag>
      <w:r w:rsidRPr="002B0857">
        <w:rPr>
          <w:rFonts w:ascii="Arial" w:hAnsi="Arial" w:cs="Arial"/>
          <w:sz w:val="20"/>
        </w:rPr>
        <w:t xml:space="preserve"> należy zabezpieczyć trwałą powłoką antyplakatową w technologii HLG System lub równoważną. </w:t>
      </w:r>
    </w:p>
    <w:p w:rsidR="002B0857" w:rsidRPr="002B0857" w:rsidRDefault="002B0857" w:rsidP="002B0857">
      <w:pPr>
        <w:pStyle w:val="Tekstpodstawowy3"/>
        <w:numPr>
          <w:ilvl w:val="0"/>
          <w:numId w:val="13"/>
        </w:numPr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Projekt należy uzgodnić ze ZDiUM załączając uzgodnienia i opinie oraz wyniki obliczeń parametrów oświetleniowych dla zastosowanych opraw z wykorzystaniem ogólnodostępnego programu komputerowego do obliczeń parametrów oświetleniowych lub analogicznego programu komputerowego ich producenta.</w:t>
      </w:r>
    </w:p>
    <w:p w:rsidR="002B0857" w:rsidRPr="002B0857" w:rsidRDefault="002B0857" w:rsidP="002B0857">
      <w:pPr>
        <w:pStyle w:val="Tekstpodstawowy3"/>
        <w:numPr>
          <w:ilvl w:val="0"/>
          <w:numId w:val="13"/>
        </w:numPr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Pomiary powykonawcze parametrów świetlnych powinny być wykonane przez jednostkę naukowo-badawczą.</w:t>
      </w:r>
    </w:p>
    <w:p w:rsidR="00C40420" w:rsidRPr="00D95838" w:rsidRDefault="00C40420" w:rsidP="00D95838">
      <w:pPr>
        <w:pStyle w:val="Tekstpodstawowy3"/>
        <w:numPr>
          <w:ilvl w:val="0"/>
          <w:numId w:val="13"/>
        </w:numPr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Gwarancja producenta dla opraw o</w:t>
      </w:r>
      <w:r w:rsidR="001F5257" w:rsidRPr="002B0857">
        <w:rPr>
          <w:rFonts w:ascii="Arial" w:hAnsi="Arial" w:cs="Arial"/>
          <w:sz w:val="20"/>
        </w:rPr>
        <w:t>świetlenia drogowego</w:t>
      </w:r>
      <w:r w:rsidRPr="002B0857">
        <w:rPr>
          <w:rFonts w:ascii="Arial" w:hAnsi="Arial" w:cs="Arial"/>
          <w:sz w:val="20"/>
        </w:rPr>
        <w:t xml:space="preserve"> wraz z zasilaczami powinna wynosić min. 10</w:t>
      </w:r>
      <w:r w:rsidR="001F5257" w:rsidRPr="002B0857">
        <w:rPr>
          <w:rFonts w:ascii="Arial" w:hAnsi="Arial" w:cs="Arial"/>
          <w:sz w:val="20"/>
        </w:rPr>
        <w:t xml:space="preserve"> </w:t>
      </w:r>
      <w:r w:rsidRPr="002B0857">
        <w:rPr>
          <w:rFonts w:ascii="Arial" w:hAnsi="Arial" w:cs="Arial"/>
          <w:sz w:val="20"/>
        </w:rPr>
        <w:t>lat.</w:t>
      </w:r>
      <w:r w:rsidR="00D95838" w:rsidRPr="00D95838">
        <w:rPr>
          <w:rFonts w:ascii="Arial" w:hAnsi="Arial" w:cs="Arial"/>
        </w:rPr>
        <w:t xml:space="preserve"> </w:t>
      </w:r>
      <w:r w:rsidR="00D95838">
        <w:rPr>
          <w:rFonts w:ascii="Arial" w:hAnsi="Arial" w:cs="Arial"/>
          <w:sz w:val="20"/>
        </w:rPr>
        <w:t>Jeśli gwarancja zadania jest krótsza niż 10 lat to należy przekazać gwarancję producenta do ZDiUM.</w:t>
      </w:r>
    </w:p>
    <w:p w:rsidR="00C40420" w:rsidRPr="002B0857" w:rsidRDefault="00C40420" w:rsidP="002B0857">
      <w:pPr>
        <w:pStyle w:val="Tekstpodstawowy3"/>
        <w:numPr>
          <w:ilvl w:val="0"/>
          <w:numId w:val="13"/>
        </w:numPr>
        <w:rPr>
          <w:rFonts w:ascii="Arial" w:hAnsi="Arial" w:cs="Arial"/>
          <w:sz w:val="20"/>
        </w:rPr>
      </w:pPr>
      <w:r w:rsidRPr="002B0857">
        <w:rPr>
          <w:rFonts w:ascii="Arial" w:hAnsi="Arial" w:cs="Arial"/>
          <w:sz w:val="20"/>
        </w:rPr>
        <w:t>W</w:t>
      </w:r>
      <w:r w:rsidR="001F5257" w:rsidRPr="002B0857">
        <w:rPr>
          <w:rFonts w:ascii="Arial" w:hAnsi="Arial" w:cs="Arial"/>
          <w:sz w:val="20"/>
        </w:rPr>
        <w:t>y</w:t>
      </w:r>
      <w:r w:rsidRPr="002B0857">
        <w:rPr>
          <w:rFonts w:ascii="Arial" w:hAnsi="Arial" w:cs="Arial"/>
          <w:sz w:val="20"/>
        </w:rPr>
        <w:t>budowane oświetlenie drogowe będzie majątkiem Gminy.</w:t>
      </w:r>
      <w:r w:rsidRPr="002B0857">
        <w:rPr>
          <w:rFonts w:ascii="Arial" w:hAnsi="Arial" w:cs="Arial"/>
          <w:sz w:val="20"/>
          <w:u w:val="single"/>
        </w:rPr>
        <w:t xml:space="preserve"> </w:t>
      </w:r>
    </w:p>
    <w:p w:rsidR="004B47E4" w:rsidRDefault="004B47E4" w:rsidP="0029086A">
      <w:pPr>
        <w:spacing w:after="0" w:line="360" w:lineRule="auto"/>
        <w:ind w:left="360" w:hanging="360"/>
        <w:rPr>
          <w:rFonts w:ascii="Verdana" w:hAnsi="Verdana"/>
          <w:color w:val="000000"/>
          <w:sz w:val="20"/>
          <w:szCs w:val="20"/>
        </w:rPr>
      </w:pPr>
    </w:p>
    <w:p w:rsidR="004B47E4" w:rsidRPr="008F1DDB" w:rsidRDefault="004B47E4" w:rsidP="0029086A">
      <w:pPr>
        <w:spacing w:after="0" w:line="360" w:lineRule="auto"/>
        <w:ind w:left="360" w:hanging="360"/>
        <w:rPr>
          <w:rFonts w:ascii="Verdana" w:hAnsi="Verdana"/>
          <w:color w:val="000000"/>
          <w:sz w:val="20"/>
          <w:szCs w:val="20"/>
        </w:rPr>
      </w:pPr>
    </w:p>
    <w:p w:rsidR="00B051EE" w:rsidRPr="008F1DDB" w:rsidRDefault="00B051EE" w:rsidP="0029086A">
      <w:pPr>
        <w:spacing w:after="0" w:line="240" w:lineRule="auto"/>
        <w:rPr>
          <w:rFonts w:ascii="Verdana" w:hAnsi="Verdana"/>
          <w:color w:val="000000"/>
          <w:sz w:val="20"/>
          <w:szCs w:val="20"/>
        </w:rPr>
      </w:pPr>
    </w:p>
    <w:p w:rsidR="00EB201E" w:rsidRPr="008F1DDB" w:rsidRDefault="00EB201E" w:rsidP="0029086A">
      <w:pPr>
        <w:spacing w:after="0" w:line="240" w:lineRule="auto"/>
        <w:ind w:left="360" w:hanging="360"/>
        <w:rPr>
          <w:rFonts w:ascii="Verdana" w:hAnsi="Verdana"/>
          <w:color w:val="000000"/>
          <w:sz w:val="20"/>
          <w:szCs w:val="20"/>
        </w:rPr>
      </w:pPr>
    </w:p>
    <w:p w:rsidR="0018490A" w:rsidRPr="008F1DDB" w:rsidRDefault="0018490A" w:rsidP="0029086A">
      <w:pPr>
        <w:pStyle w:val="Tekstpodstawowy3"/>
        <w:rPr>
          <w:rFonts w:ascii="Verdana" w:hAnsi="Verdana"/>
          <w:color w:val="000000"/>
          <w:sz w:val="20"/>
        </w:rPr>
      </w:pPr>
    </w:p>
    <w:sectPr w:rsidR="0018490A" w:rsidRPr="008F1DDB" w:rsidSect="00976664">
      <w:headerReference w:type="default" r:id="rId7"/>
      <w:footerReference w:type="even" r:id="rId8"/>
      <w:footerReference w:type="default" r:id="rId9"/>
      <w:pgSz w:w="11906" w:h="16838"/>
      <w:pgMar w:top="719" w:right="1304" w:bottom="539" w:left="1418" w:header="0" w:footer="1831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D05" w:rsidRDefault="00222D05">
      <w:pPr>
        <w:spacing w:after="0" w:line="240" w:lineRule="auto"/>
      </w:pPr>
      <w:r>
        <w:separator/>
      </w:r>
    </w:p>
  </w:endnote>
  <w:endnote w:type="continuationSeparator" w:id="1">
    <w:p w:rsidR="00222D05" w:rsidRDefault="00222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7E4" w:rsidRDefault="00D4114C" w:rsidP="00167A1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B47E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47E4" w:rsidRDefault="004B47E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7E4" w:rsidRDefault="004B47E4">
    <w:pPr>
      <w:pStyle w:val="Stopka"/>
      <w:tabs>
        <w:tab w:val="clear" w:pos="4536"/>
        <w:tab w:val="clear" w:pos="9072"/>
      </w:tabs>
      <w:ind w:left="-284" w:right="-85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D05" w:rsidRDefault="00222D05">
      <w:pPr>
        <w:spacing w:after="0" w:line="240" w:lineRule="auto"/>
      </w:pPr>
      <w:r>
        <w:separator/>
      </w:r>
    </w:p>
  </w:footnote>
  <w:footnote w:type="continuationSeparator" w:id="1">
    <w:p w:rsidR="00222D05" w:rsidRDefault="00222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7E4" w:rsidRDefault="004B47E4">
    <w:pPr>
      <w:pStyle w:val="Nagwek"/>
      <w:tabs>
        <w:tab w:val="clear" w:pos="4536"/>
        <w:tab w:val="clear" w:pos="9072"/>
      </w:tabs>
      <w:ind w:left="-284" w:right="-85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D0352"/>
    <w:multiLevelType w:val="hybridMultilevel"/>
    <w:tmpl w:val="2DD80B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7471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E6EE9F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9304BD"/>
    <w:multiLevelType w:val="hybridMultilevel"/>
    <w:tmpl w:val="AE56861C"/>
    <w:lvl w:ilvl="0" w:tplc="40B24D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381C59"/>
    <w:multiLevelType w:val="hybridMultilevel"/>
    <w:tmpl w:val="B8AAE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C4F83"/>
    <w:multiLevelType w:val="hybridMultilevel"/>
    <w:tmpl w:val="FA124414"/>
    <w:lvl w:ilvl="0" w:tplc="A3FC8D3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440604"/>
    <w:multiLevelType w:val="hybridMultilevel"/>
    <w:tmpl w:val="1A6C1988"/>
    <w:lvl w:ilvl="0" w:tplc="4EB4DD66">
      <w:start w:val="2"/>
      <w:numFmt w:val="lowerLetter"/>
      <w:lvlText w:val="%1)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5">
    <w:nsid w:val="23EF3E0F"/>
    <w:multiLevelType w:val="hybridMultilevel"/>
    <w:tmpl w:val="8C0C44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270362"/>
    <w:multiLevelType w:val="hybridMultilevel"/>
    <w:tmpl w:val="7F2637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9AE2DAF"/>
    <w:multiLevelType w:val="hybridMultilevel"/>
    <w:tmpl w:val="378ECD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AF756D8"/>
    <w:multiLevelType w:val="hybridMultilevel"/>
    <w:tmpl w:val="5F9EA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E04379"/>
    <w:multiLevelType w:val="hybridMultilevel"/>
    <w:tmpl w:val="8C7E4E58"/>
    <w:lvl w:ilvl="0" w:tplc="DE5C2F9A">
      <w:start w:val="8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3890E53"/>
    <w:multiLevelType w:val="hybridMultilevel"/>
    <w:tmpl w:val="FD62541C"/>
    <w:lvl w:ilvl="0" w:tplc="142E7250">
      <w:start w:val="53"/>
      <w:numFmt w:val="bullet"/>
      <w:lvlText w:val="-"/>
      <w:lvlJc w:val="left"/>
      <w:pPr>
        <w:tabs>
          <w:tab w:val="num" w:pos="1698"/>
        </w:tabs>
        <w:ind w:left="1698" w:hanging="99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73C2267C"/>
    <w:multiLevelType w:val="hybridMultilevel"/>
    <w:tmpl w:val="47DAE7C8"/>
    <w:lvl w:ilvl="0" w:tplc="1CFC3E6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B960FEC"/>
    <w:multiLevelType w:val="hybridMultilevel"/>
    <w:tmpl w:val="38C65784"/>
    <w:lvl w:ilvl="0" w:tplc="750CE60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7D9B66BC"/>
    <w:multiLevelType w:val="hybridMultilevel"/>
    <w:tmpl w:val="93081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12"/>
  </w:num>
  <w:num w:numId="7">
    <w:abstractNumId w:val="5"/>
  </w:num>
  <w:num w:numId="8">
    <w:abstractNumId w:val="10"/>
  </w:num>
  <w:num w:numId="9">
    <w:abstractNumId w:val="7"/>
  </w:num>
  <w:num w:numId="10">
    <w:abstractNumId w:val="13"/>
  </w:num>
  <w:num w:numId="11">
    <w:abstractNumId w:val="3"/>
  </w:num>
  <w:num w:numId="12">
    <w:abstractNumId w:val="11"/>
  </w:num>
  <w:num w:numId="13">
    <w:abstractNumId w:val="1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A139DC"/>
    <w:rsid w:val="00004193"/>
    <w:rsid w:val="00004F13"/>
    <w:rsid w:val="00027068"/>
    <w:rsid w:val="00030855"/>
    <w:rsid w:val="000317AC"/>
    <w:rsid w:val="00031D84"/>
    <w:rsid w:val="0003222A"/>
    <w:rsid w:val="000512DB"/>
    <w:rsid w:val="00091343"/>
    <w:rsid w:val="000914B6"/>
    <w:rsid w:val="000A0D7A"/>
    <w:rsid w:val="000A400F"/>
    <w:rsid w:val="000A7FCE"/>
    <w:rsid w:val="000B115D"/>
    <w:rsid w:val="000B5E53"/>
    <w:rsid w:val="000B7190"/>
    <w:rsid w:val="000C0D32"/>
    <w:rsid w:val="000C4612"/>
    <w:rsid w:val="000D25E7"/>
    <w:rsid w:val="000D2795"/>
    <w:rsid w:val="000D57EB"/>
    <w:rsid w:val="000D74CB"/>
    <w:rsid w:val="000F3D8D"/>
    <w:rsid w:val="000F6A88"/>
    <w:rsid w:val="00103ED3"/>
    <w:rsid w:val="001100C2"/>
    <w:rsid w:val="001133F3"/>
    <w:rsid w:val="00122B29"/>
    <w:rsid w:val="001410EF"/>
    <w:rsid w:val="00145CD4"/>
    <w:rsid w:val="00147478"/>
    <w:rsid w:val="00151C53"/>
    <w:rsid w:val="00151D69"/>
    <w:rsid w:val="001618DB"/>
    <w:rsid w:val="00167A18"/>
    <w:rsid w:val="00167DA5"/>
    <w:rsid w:val="0018359D"/>
    <w:rsid w:val="0018490A"/>
    <w:rsid w:val="0019295E"/>
    <w:rsid w:val="00195663"/>
    <w:rsid w:val="001A63AB"/>
    <w:rsid w:val="001B0026"/>
    <w:rsid w:val="001B1DDD"/>
    <w:rsid w:val="001B2054"/>
    <w:rsid w:val="001B24F7"/>
    <w:rsid w:val="001C4ECC"/>
    <w:rsid w:val="001C7B77"/>
    <w:rsid w:val="001D1AD6"/>
    <w:rsid w:val="001D4A34"/>
    <w:rsid w:val="001D7B97"/>
    <w:rsid w:val="001E2D3B"/>
    <w:rsid w:val="001F164E"/>
    <w:rsid w:val="001F2E94"/>
    <w:rsid w:val="001F5257"/>
    <w:rsid w:val="00200B30"/>
    <w:rsid w:val="00210E56"/>
    <w:rsid w:val="00222D05"/>
    <w:rsid w:val="0022476C"/>
    <w:rsid w:val="00227AA4"/>
    <w:rsid w:val="0023129D"/>
    <w:rsid w:val="002319AD"/>
    <w:rsid w:val="00232F5C"/>
    <w:rsid w:val="00241433"/>
    <w:rsid w:val="00254861"/>
    <w:rsid w:val="00256EA3"/>
    <w:rsid w:val="00265DFC"/>
    <w:rsid w:val="002712EC"/>
    <w:rsid w:val="00282EB0"/>
    <w:rsid w:val="00286175"/>
    <w:rsid w:val="0029086A"/>
    <w:rsid w:val="00296F0C"/>
    <w:rsid w:val="0029776A"/>
    <w:rsid w:val="002A11B5"/>
    <w:rsid w:val="002B0857"/>
    <w:rsid w:val="002B1572"/>
    <w:rsid w:val="002B5D12"/>
    <w:rsid w:val="002C0B36"/>
    <w:rsid w:val="002E019A"/>
    <w:rsid w:val="002F5718"/>
    <w:rsid w:val="00305362"/>
    <w:rsid w:val="00307916"/>
    <w:rsid w:val="00311E19"/>
    <w:rsid w:val="003141BE"/>
    <w:rsid w:val="00324BF4"/>
    <w:rsid w:val="003254F7"/>
    <w:rsid w:val="00330A0E"/>
    <w:rsid w:val="003508FE"/>
    <w:rsid w:val="003570AE"/>
    <w:rsid w:val="00361FE0"/>
    <w:rsid w:val="0036755C"/>
    <w:rsid w:val="00376862"/>
    <w:rsid w:val="00381301"/>
    <w:rsid w:val="003A32D8"/>
    <w:rsid w:val="003B2CCC"/>
    <w:rsid w:val="003B350C"/>
    <w:rsid w:val="003B438A"/>
    <w:rsid w:val="003C7BD0"/>
    <w:rsid w:val="003D4E49"/>
    <w:rsid w:val="003E6C2D"/>
    <w:rsid w:val="003E7D5B"/>
    <w:rsid w:val="00406489"/>
    <w:rsid w:val="00413FC8"/>
    <w:rsid w:val="00414E09"/>
    <w:rsid w:val="00415592"/>
    <w:rsid w:val="00421061"/>
    <w:rsid w:val="00422151"/>
    <w:rsid w:val="004244A2"/>
    <w:rsid w:val="00424A1C"/>
    <w:rsid w:val="004346B0"/>
    <w:rsid w:val="004534B2"/>
    <w:rsid w:val="0046560E"/>
    <w:rsid w:val="00477DF7"/>
    <w:rsid w:val="004852E7"/>
    <w:rsid w:val="00490133"/>
    <w:rsid w:val="004A4DC8"/>
    <w:rsid w:val="004B001B"/>
    <w:rsid w:val="004B0C2A"/>
    <w:rsid w:val="004B1017"/>
    <w:rsid w:val="004B47E4"/>
    <w:rsid w:val="004D0585"/>
    <w:rsid w:val="004D31A6"/>
    <w:rsid w:val="004D4539"/>
    <w:rsid w:val="004D4B01"/>
    <w:rsid w:val="004E331D"/>
    <w:rsid w:val="004E651F"/>
    <w:rsid w:val="004F7187"/>
    <w:rsid w:val="00500204"/>
    <w:rsid w:val="00512987"/>
    <w:rsid w:val="005152CE"/>
    <w:rsid w:val="00543A28"/>
    <w:rsid w:val="00553483"/>
    <w:rsid w:val="00557CCF"/>
    <w:rsid w:val="005600C1"/>
    <w:rsid w:val="00570933"/>
    <w:rsid w:val="00572903"/>
    <w:rsid w:val="0057518F"/>
    <w:rsid w:val="005833A5"/>
    <w:rsid w:val="00590764"/>
    <w:rsid w:val="005A32F2"/>
    <w:rsid w:val="005A5F28"/>
    <w:rsid w:val="005B2A93"/>
    <w:rsid w:val="005D390B"/>
    <w:rsid w:val="005D6723"/>
    <w:rsid w:val="00605983"/>
    <w:rsid w:val="00605B5B"/>
    <w:rsid w:val="0061604D"/>
    <w:rsid w:val="00631C20"/>
    <w:rsid w:val="00640556"/>
    <w:rsid w:val="00641DAF"/>
    <w:rsid w:val="00642C17"/>
    <w:rsid w:val="006438AF"/>
    <w:rsid w:val="00652642"/>
    <w:rsid w:val="00661A66"/>
    <w:rsid w:val="00661E23"/>
    <w:rsid w:val="00667117"/>
    <w:rsid w:val="00667D27"/>
    <w:rsid w:val="006701BD"/>
    <w:rsid w:val="0067678B"/>
    <w:rsid w:val="00676B2A"/>
    <w:rsid w:val="00677445"/>
    <w:rsid w:val="006808C4"/>
    <w:rsid w:val="00687125"/>
    <w:rsid w:val="00691162"/>
    <w:rsid w:val="00691288"/>
    <w:rsid w:val="0069372E"/>
    <w:rsid w:val="006A46AF"/>
    <w:rsid w:val="006B3A28"/>
    <w:rsid w:val="006B657E"/>
    <w:rsid w:val="006C243B"/>
    <w:rsid w:val="006C6720"/>
    <w:rsid w:val="006D57DC"/>
    <w:rsid w:val="006F0BED"/>
    <w:rsid w:val="0070119D"/>
    <w:rsid w:val="00704845"/>
    <w:rsid w:val="00705810"/>
    <w:rsid w:val="007174AC"/>
    <w:rsid w:val="0073518E"/>
    <w:rsid w:val="00744F85"/>
    <w:rsid w:val="00746627"/>
    <w:rsid w:val="00747AB3"/>
    <w:rsid w:val="007538FD"/>
    <w:rsid w:val="007608DA"/>
    <w:rsid w:val="00760BF5"/>
    <w:rsid w:val="00762A0E"/>
    <w:rsid w:val="00763531"/>
    <w:rsid w:val="0077585C"/>
    <w:rsid w:val="00780BC8"/>
    <w:rsid w:val="00791DA5"/>
    <w:rsid w:val="00794A7E"/>
    <w:rsid w:val="00795AD0"/>
    <w:rsid w:val="007A2528"/>
    <w:rsid w:val="007A629D"/>
    <w:rsid w:val="007B3D01"/>
    <w:rsid w:val="007C1A43"/>
    <w:rsid w:val="007C5230"/>
    <w:rsid w:val="007D2099"/>
    <w:rsid w:val="007F0FD0"/>
    <w:rsid w:val="007F2A2D"/>
    <w:rsid w:val="00801D95"/>
    <w:rsid w:val="00802783"/>
    <w:rsid w:val="00806802"/>
    <w:rsid w:val="00813AA6"/>
    <w:rsid w:val="00824531"/>
    <w:rsid w:val="00836F34"/>
    <w:rsid w:val="00845F35"/>
    <w:rsid w:val="00846A16"/>
    <w:rsid w:val="00864583"/>
    <w:rsid w:val="00874F78"/>
    <w:rsid w:val="00875656"/>
    <w:rsid w:val="00882A8B"/>
    <w:rsid w:val="00883292"/>
    <w:rsid w:val="008911BA"/>
    <w:rsid w:val="008A506C"/>
    <w:rsid w:val="008A5E13"/>
    <w:rsid w:val="008B3425"/>
    <w:rsid w:val="008B4303"/>
    <w:rsid w:val="008B5EB0"/>
    <w:rsid w:val="008C1AC8"/>
    <w:rsid w:val="008C6D2A"/>
    <w:rsid w:val="008D3E76"/>
    <w:rsid w:val="008E5CB8"/>
    <w:rsid w:val="008F1DDB"/>
    <w:rsid w:val="0090146A"/>
    <w:rsid w:val="00903AFA"/>
    <w:rsid w:val="00907EB7"/>
    <w:rsid w:val="009208AA"/>
    <w:rsid w:val="0092654A"/>
    <w:rsid w:val="00930E02"/>
    <w:rsid w:val="00944A2C"/>
    <w:rsid w:val="009541FD"/>
    <w:rsid w:val="00961459"/>
    <w:rsid w:val="009662F1"/>
    <w:rsid w:val="00975BF0"/>
    <w:rsid w:val="00976664"/>
    <w:rsid w:val="00977455"/>
    <w:rsid w:val="009872C1"/>
    <w:rsid w:val="0099077A"/>
    <w:rsid w:val="009A3232"/>
    <w:rsid w:val="009A3E69"/>
    <w:rsid w:val="009B3B61"/>
    <w:rsid w:val="009C5945"/>
    <w:rsid w:val="009D1749"/>
    <w:rsid w:val="009D2EF6"/>
    <w:rsid w:val="009E6C44"/>
    <w:rsid w:val="009F3588"/>
    <w:rsid w:val="009F3A3E"/>
    <w:rsid w:val="00A00015"/>
    <w:rsid w:val="00A038EA"/>
    <w:rsid w:val="00A12FD9"/>
    <w:rsid w:val="00A1395F"/>
    <w:rsid w:val="00A139DC"/>
    <w:rsid w:val="00A14712"/>
    <w:rsid w:val="00A16DAA"/>
    <w:rsid w:val="00A25834"/>
    <w:rsid w:val="00A35D6D"/>
    <w:rsid w:val="00A538B3"/>
    <w:rsid w:val="00A605BE"/>
    <w:rsid w:val="00A6621C"/>
    <w:rsid w:val="00A66E56"/>
    <w:rsid w:val="00A805E7"/>
    <w:rsid w:val="00A839E2"/>
    <w:rsid w:val="00A84138"/>
    <w:rsid w:val="00A977F9"/>
    <w:rsid w:val="00AA2A7E"/>
    <w:rsid w:val="00AA46D8"/>
    <w:rsid w:val="00AB66FF"/>
    <w:rsid w:val="00AB780C"/>
    <w:rsid w:val="00AC32A9"/>
    <w:rsid w:val="00AE52E5"/>
    <w:rsid w:val="00AF1E4C"/>
    <w:rsid w:val="00AF3BD8"/>
    <w:rsid w:val="00AF781B"/>
    <w:rsid w:val="00B0105E"/>
    <w:rsid w:val="00B03C93"/>
    <w:rsid w:val="00B051EE"/>
    <w:rsid w:val="00B06E41"/>
    <w:rsid w:val="00B209B2"/>
    <w:rsid w:val="00B43131"/>
    <w:rsid w:val="00B450F1"/>
    <w:rsid w:val="00B60942"/>
    <w:rsid w:val="00B64DD7"/>
    <w:rsid w:val="00B71134"/>
    <w:rsid w:val="00B72212"/>
    <w:rsid w:val="00B92CD5"/>
    <w:rsid w:val="00B94A78"/>
    <w:rsid w:val="00B960D5"/>
    <w:rsid w:val="00BA5A2B"/>
    <w:rsid w:val="00BB3A09"/>
    <w:rsid w:val="00BB6AED"/>
    <w:rsid w:val="00BC1A98"/>
    <w:rsid w:val="00BC2D12"/>
    <w:rsid w:val="00BC447B"/>
    <w:rsid w:val="00BD4029"/>
    <w:rsid w:val="00BD66AF"/>
    <w:rsid w:val="00BE1A49"/>
    <w:rsid w:val="00BE7FBC"/>
    <w:rsid w:val="00BF1751"/>
    <w:rsid w:val="00BF3A5E"/>
    <w:rsid w:val="00C03F25"/>
    <w:rsid w:val="00C13D81"/>
    <w:rsid w:val="00C40420"/>
    <w:rsid w:val="00C44934"/>
    <w:rsid w:val="00C50A7C"/>
    <w:rsid w:val="00C51C1D"/>
    <w:rsid w:val="00C57403"/>
    <w:rsid w:val="00C65A90"/>
    <w:rsid w:val="00C7526A"/>
    <w:rsid w:val="00C82743"/>
    <w:rsid w:val="00C82C13"/>
    <w:rsid w:val="00C91FA5"/>
    <w:rsid w:val="00CA60F7"/>
    <w:rsid w:val="00CD0C8D"/>
    <w:rsid w:val="00CD2751"/>
    <w:rsid w:val="00CE48EB"/>
    <w:rsid w:val="00D0005F"/>
    <w:rsid w:val="00D10AAF"/>
    <w:rsid w:val="00D24C18"/>
    <w:rsid w:val="00D25FE7"/>
    <w:rsid w:val="00D26E8D"/>
    <w:rsid w:val="00D37D2B"/>
    <w:rsid w:val="00D4114C"/>
    <w:rsid w:val="00D423F9"/>
    <w:rsid w:val="00D427FE"/>
    <w:rsid w:val="00D50D68"/>
    <w:rsid w:val="00D6266F"/>
    <w:rsid w:val="00D66734"/>
    <w:rsid w:val="00D74857"/>
    <w:rsid w:val="00D830B0"/>
    <w:rsid w:val="00D874FE"/>
    <w:rsid w:val="00D95838"/>
    <w:rsid w:val="00D976AD"/>
    <w:rsid w:val="00DA0C42"/>
    <w:rsid w:val="00DA6341"/>
    <w:rsid w:val="00DA70F1"/>
    <w:rsid w:val="00DC5AD6"/>
    <w:rsid w:val="00DD188D"/>
    <w:rsid w:val="00DF25A3"/>
    <w:rsid w:val="00DF7E5A"/>
    <w:rsid w:val="00E137F2"/>
    <w:rsid w:val="00E32469"/>
    <w:rsid w:val="00E33456"/>
    <w:rsid w:val="00E33786"/>
    <w:rsid w:val="00E3481C"/>
    <w:rsid w:val="00E34BDD"/>
    <w:rsid w:val="00E42426"/>
    <w:rsid w:val="00E436F9"/>
    <w:rsid w:val="00E527D7"/>
    <w:rsid w:val="00E61E1A"/>
    <w:rsid w:val="00E65E8A"/>
    <w:rsid w:val="00E6784E"/>
    <w:rsid w:val="00E75211"/>
    <w:rsid w:val="00E77804"/>
    <w:rsid w:val="00EA1C47"/>
    <w:rsid w:val="00EB201E"/>
    <w:rsid w:val="00EB2105"/>
    <w:rsid w:val="00EC691F"/>
    <w:rsid w:val="00EC6BD4"/>
    <w:rsid w:val="00ED2A7B"/>
    <w:rsid w:val="00EF4C8A"/>
    <w:rsid w:val="00F0550F"/>
    <w:rsid w:val="00F147BF"/>
    <w:rsid w:val="00F23CF0"/>
    <w:rsid w:val="00F32E99"/>
    <w:rsid w:val="00F33C56"/>
    <w:rsid w:val="00F37776"/>
    <w:rsid w:val="00F50B77"/>
    <w:rsid w:val="00F52AB6"/>
    <w:rsid w:val="00F56CF7"/>
    <w:rsid w:val="00F57C46"/>
    <w:rsid w:val="00F90180"/>
    <w:rsid w:val="00F90BAD"/>
    <w:rsid w:val="00F9200E"/>
    <w:rsid w:val="00FA5A2C"/>
    <w:rsid w:val="00FA7B23"/>
    <w:rsid w:val="00FC0BF9"/>
    <w:rsid w:val="00FC43A0"/>
    <w:rsid w:val="00FD12C2"/>
    <w:rsid w:val="00FD61B7"/>
    <w:rsid w:val="00FF147E"/>
    <w:rsid w:val="00FF1621"/>
    <w:rsid w:val="00FF236E"/>
    <w:rsid w:val="00FF3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4114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D4114C"/>
    <w:pPr>
      <w:keepNext/>
      <w:ind w:left="1134"/>
      <w:outlineLvl w:val="0"/>
    </w:pPr>
    <w:rPr>
      <w:rFonts w:ascii="Verdana" w:hAnsi="Verdana"/>
      <w:b/>
      <w:bCs/>
    </w:rPr>
  </w:style>
  <w:style w:type="paragraph" w:styleId="Nagwek4">
    <w:name w:val="heading 4"/>
    <w:basedOn w:val="Normalny"/>
    <w:next w:val="Normalny"/>
    <w:qFormat/>
    <w:rsid w:val="00D4114C"/>
    <w:pPr>
      <w:keepNext/>
      <w:spacing w:after="0" w:line="240" w:lineRule="auto"/>
      <w:outlineLvl w:val="3"/>
    </w:pPr>
    <w:rPr>
      <w:rFonts w:ascii="Times New Roman" w:eastAsia="Times New Roman" w:hAnsi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semiHidden/>
    <w:rsid w:val="00D4114C"/>
    <w:rPr>
      <w:color w:val="808080"/>
    </w:rPr>
  </w:style>
  <w:style w:type="paragraph" w:styleId="Tekstdymka">
    <w:name w:val="Balloon Text"/>
    <w:basedOn w:val="Normalny"/>
    <w:semiHidden/>
    <w:unhideWhenUsed/>
    <w:rsid w:val="00D41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Znak2">
    <w:name w:val="Znak2"/>
    <w:basedOn w:val="Domylnaczcionkaakapitu"/>
    <w:semiHidden/>
    <w:rsid w:val="00D411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D4114C"/>
    <w:pPr>
      <w:ind w:left="720"/>
      <w:contextualSpacing/>
    </w:pPr>
  </w:style>
  <w:style w:type="paragraph" w:styleId="Nagwek">
    <w:name w:val="header"/>
    <w:basedOn w:val="Normalny"/>
    <w:unhideWhenUsed/>
    <w:rsid w:val="00D41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nak1">
    <w:name w:val="Znak1"/>
    <w:basedOn w:val="Domylnaczcionkaakapitu"/>
    <w:semiHidden/>
    <w:rsid w:val="00D4114C"/>
  </w:style>
  <w:style w:type="paragraph" w:styleId="Stopka">
    <w:name w:val="footer"/>
    <w:basedOn w:val="Normalny"/>
    <w:unhideWhenUsed/>
    <w:rsid w:val="00D41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nak">
    <w:name w:val="Znak"/>
    <w:basedOn w:val="Domylnaczcionkaakapitu"/>
    <w:semiHidden/>
    <w:rsid w:val="00D4114C"/>
  </w:style>
  <w:style w:type="paragraph" w:styleId="Tekstpodstawowy3">
    <w:name w:val="Body Text 3"/>
    <w:basedOn w:val="Normalny"/>
    <w:rsid w:val="00D4114C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rsid w:val="00D4114C"/>
    <w:pPr>
      <w:ind w:firstLine="708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rsid w:val="00D4114C"/>
    <w:pPr>
      <w:spacing w:after="0" w:line="240" w:lineRule="auto"/>
      <w:ind w:firstLine="708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Plandokumentu">
    <w:name w:val="Document Map"/>
    <w:basedOn w:val="Normalny"/>
    <w:semiHidden/>
    <w:rsid w:val="000D25E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Numerstrony">
    <w:name w:val="page number"/>
    <w:basedOn w:val="Domylnaczcionkaakapitu"/>
    <w:rsid w:val="008E5CB8"/>
  </w:style>
  <w:style w:type="paragraph" w:customStyle="1" w:styleId="Default">
    <w:name w:val="Default"/>
    <w:rsid w:val="00B43131"/>
    <w:pPr>
      <w:autoSpaceDE w:val="0"/>
      <w:autoSpaceDN w:val="0"/>
      <w:adjustRightInd w:val="0"/>
    </w:pPr>
    <w:rPr>
      <w:rFonts w:ascii="Liberation Sans" w:eastAsia="Times New Roman" w:hAnsi="Liberation Sans" w:cs="Liberation Sans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2B0857"/>
    <w:pPr>
      <w:ind w:left="720"/>
      <w:contextualSpacing/>
    </w:pPr>
    <w:rPr>
      <w:rFonts w:eastAsia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946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Wrocław, dnia 2008-07-29</vt:lpstr>
    </vt:vector>
  </TitlesOfParts>
  <Company>Hewlett-Packard Company</Company>
  <LinksUpToDate>false</LinksUpToDate>
  <CharactersWithSpaces>6613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Wrocław, dnia 2008-07-29</dc:title>
  <dc:creator>Maciej Pacześniak</dc:creator>
  <cp:lastModifiedBy>Ćwiękała Grzegorz</cp:lastModifiedBy>
  <cp:revision>7</cp:revision>
  <cp:lastPrinted>2015-06-02T11:58:00Z</cp:lastPrinted>
  <dcterms:created xsi:type="dcterms:W3CDTF">2022-04-22T05:42:00Z</dcterms:created>
  <dcterms:modified xsi:type="dcterms:W3CDTF">2022-06-03T06:39:00Z</dcterms:modified>
</cp:coreProperties>
</file>